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C8E2" w14:textId="6FEE340E" w:rsidR="005B5423" w:rsidRPr="001617FE" w:rsidRDefault="001617FE" w:rsidP="009D401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745049A" wp14:editId="2046937A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1571625" cy="951865"/>
            <wp:effectExtent l="0" t="0" r="9525" b="635"/>
            <wp:wrapTopAndBottom/>
            <wp:docPr id="795560976" name="Picture 1" descr="Hospice Isle of Man logo consisting of the word Hospice written in blue, along with a picture on the left upper corner of a yello and blue butterfly on a lea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560976" name="Picture 1" descr="Hospice Isle of Man logo consisting of the word Hospice written in blue, along with a picture on the left upper corner of a yello and blue butterfly on a leaf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4014" w:rsidRPr="001617FE">
        <w:rPr>
          <w:b/>
          <w:bCs/>
          <w:sz w:val="32"/>
          <w:szCs w:val="32"/>
          <w:u w:val="single"/>
        </w:rPr>
        <w:t>Referral to Hos</w:t>
      </w:r>
      <w:r w:rsidR="00DE71BB">
        <w:rPr>
          <w:b/>
          <w:bCs/>
          <w:sz w:val="32"/>
          <w:szCs w:val="32"/>
          <w:u w:val="single"/>
        </w:rPr>
        <w:t>p</w:t>
      </w:r>
      <w:r w:rsidR="009D4014" w:rsidRPr="001617FE">
        <w:rPr>
          <w:b/>
          <w:bCs/>
          <w:sz w:val="32"/>
          <w:szCs w:val="32"/>
          <w:u w:val="single"/>
        </w:rPr>
        <w:t>ice Isle of Man</w:t>
      </w:r>
    </w:p>
    <w:p w14:paraId="26FA98A4" w14:textId="5BB02645" w:rsidR="00BB29F8" w:rsidRPr="00DE71BB" w:rsidRDefault="00DE71BB" w:rsidP="00BB29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82F9C" wp14:editId="1E40B6F4">
                <wp:simplePos x="0" y="0"/>
                <wp:positionH relativeFrom="margin">
                  <wp:posOffset>-111761</wp:posOffset>
                </wp:positionH>
                <wp:positionV relativeFrom="paragraph">
                  <wp:posOffset>449580</wp:posOffset>
                </wp:positionV>
                <wp:extent cx="6562725" cy="936625"/>
                <wp:effectExtent l="19050" t="19050" r="28575" b="15875"/>
                <wp:wrapNone/>
                <wp:docPr id="15401276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9366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2A40F" id="Rectangle 1" o:spid="_x0000_s1026" style="position:absolute;margin-left:-8.8pt;margin-top:35.4pt;width:516.75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" filled="f" strokecolor="#030e13 [484]" strokeweight="2.25pt">
                <w10:wrap anchorx="margin"/>
              </v:rect>
            </w:pict>
          </mc:Fallback>
        </mc:AlternateContent>
      </w:r>
      <w:r w:rsidR="00BB29F8">
        <w:t>All fields must be completed in full. Failure to complete this form correctly could lead to delay in service response or the referral being rejected.</w:t>
      </w:r>
      <w:r>
        <w:t xml:space="preserve"> </w:t>
      </w:r>
    </w:p>
    <w:p w14:paraId="1B6F6BCB" w14:textId="7A7FD4F5" w:rsidR="00BB29F8" w:rsidRDefault="00BB29F8" w:rsidP="00BB29F8">
      <w:r>
        <w:t>Is the patient in the last few weeks of life (less than 4)</w:t>
      </w:r>
      <w:r w:rsidR="002519FF">
        <w:t xml:space="preserve"> </w:t>
      </w:r>
      <w:r w:rsidR="00752024">
        <w:t>(</w:t>
      </w:r>
      <w:r w:rsidR="00752024" w:rsidRPr="002519FF">
        <w:rPr>
          <w:b/>
          <w:bCs/>
        </w:rPr>
        <w:t>TC</w:t>
      </w:r>
      <w:r w:rsidR="00752024">
        <w:t>)</w:t>
      </w:r>
      <w:r>
        <w:tab/>
      </w:r>
      <w:r w:rsidR="00DE71BB">
        <w:t xml:space="preserve">     </w:t>
      </w:r>
      <w:r w:rsidR="005D3F83">
        <w:t xml:space="preserve">  </w:t>
      </w:r>
      <w:r w:rsidR="00DE71BB">
        <w:t xml:space="preserve">   </w:t>
      </w:r>
      <w:r>
        <w:t xml:space="preserve">Yes </w:t>
      </w:r>
      <w:sdt>
        <w:sdtPr>
          <w:id w:val="-87152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51951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87067EF" w14:textId="722E25D0" w:rsidR="00BB29F8" w:rsidRDefault="00BB29F8" w:rsidP="00BB29F8">
      <w:r>
        <w:t>Does the patient have a palliative diagnosis</w:t>
      </w:r>
      <w:r w:rsidR="008A30ED">
        <w:t xml:space="preserve"> (last 12 months of life)</w:t>
      </w:r>
      <w:r>
        <w:t xml:space="preserve"> AND complex symptoms requiring hospice input</w:t>
      </w:r>
      <w:r w:rsidR="002519FF">
        <w:t xml:space="preserve"> (</w:t>
      </w:r>
      <w:r w:rsidR="002519FF" w:rsidRPr="002519FF">
        <w:rPr>
          <w:b/>
          <w:bCs/>
        </w:rPr>
        <w:t>SM</w:t>
      </w:r>
      <w:r w:rsidR="002519FF">
        <w:t>)</w:t>
      </w:r>
      <w:r>
        <w:tab/>
      </w:r>
      <w:r>
        <w:tab/>
      </w:r>
      <w:r>
        <w:tab/>
      </w:r>
      <w:r>
        <w:tab/>
      </w:r>
      <w:r w:rsidR="00DE71BB">
        <w:t xml:space="preserve">                   </w:t>
      </w:r>
      <w:r w:rsidR="00130DE6">
        <w:t xml:space="preserve">   </w:t>
      </w:r>
      <w:r w:rsidR="00DE71BB">
        <w:t xml:space="preserve">   </w:t>
      </w:r>
      <w:r>
        <w:t xml:space="preserve">Yes </w:t>
      </w:r>
      <w:sdt>
        <w:sdtPr>
          <w:id w:val="-195393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id w:val="13870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981E585" w14:textId="2134C1F7" w:rsidR="00BB29F8" w:rsidRDefault="00BB29F8" w:rsidP="00BB29F8">
      <w:r>
        <w:t xml:space="preserve">We can only accept patients in </w:t>
      </w:r>
      <w:r w:rsidR="00C13DAC">
        <w:t xml:space="preserve">at least one of </w:t>
      </w:r>
      <w:r>
        <w:t xml:space="preserve">the above 2 categories. </w:t>
      </w:r>
    </w:p>
    <w:p w14:paraId="3B0D3FAE" w14:textId="77777777" w:rsidR="00DE71BB" w:rsidRDefault="00DE71BB" w:rsidP="00BB29F8"/>
    <w:p w14:paraId="3AC9715C" w14:textId="32106C08" w:rsidR="00BB29F8" w:rsidRDefault="00BB29F8" w:rsidP="00BB29F8">
      <w:r>
        <w:t xml:space="preserve">PLEASE NOTE: We can no longer accept referrals for patients in the following categories </w:t>
      </w:r>
      <w:r w:rsidRPr="009F5A1B">
        <w:rPr>
          <w:b/>
          <w:bCs/>
        </w:rPr>
        <w:t>(unless the above criteria are met):</w:t>
      </w:r>
    </w:p>
    <w:p w14:paraId="5D0E96EF" w14:textId="199F93F3" w:rsidR="00BB29F8" w:rsidRDefault="00BB29F8" w:rsidP="00BB29F8">
      <w:pPr>
        <w:pStyle w:val="ListParagraph"/>
        <w:numPr>
          <w:ilvl w:val="0"/>
          <w:numId w:val="1"/>
        </w:numPr>
      </w:pPr>
      <w:r>
        <w:t>Those with no specialist palliative care symptoms</w:t>
      </w:r>
    </w:p>
    <w:p w14:paraId="13C137BA" w14:textId="77777777" w:rsidR="00BB29F8" w:rsidRDefault="00BB29F8" w:rsidP="00BB29F8">
      <w:pPr>
        <w:pStyle w:val="ListParagraph"/>
        <w:numPr>
          <w:ilvl w:val="0"/>
          <w:numId w:val="1"/>
        </w:numPr>
      </w:pPr>
      <w:r>
        <w:t>Frailty</w:t>
      </w:r>
    </w:p>
    <w:p w14:paraId="7683996F" w14:textId="77777777" w:rsidR="00BB29F8" w:rsidRDefault="00BB29F8" w:rsidP="00BB29F8">
      <w:pPr>
        <w:pStyle w:val="ListParagraph"/>
        <w:numPr>
          <w:ilvl w:val="0"/>
          <w:numId w:val="1"/>
        </w:numPr>
      </w:pPr>
      <w:r>
        <w:t>Dementia</w:t>
      </w:r>
    </w:p>
    <w:p w14:paraId="31A22060" w14:textId="7564EBCC" w:rsidR="00BB29F8" w:rsidRDefault="00BB29F8" w:rsidP="00BB29F8">
      <w:pPr>
        <w:pStyle w:val="ListParagraph"/>
        <w:numPr>
          <w:ilvl w:val="0"/>
          <w:numId w:val="1"/>
        </w:numPr>
      </w:pPr>
      <w:r>
        <w:t xml:space="preserve">Residents of Nursing Homes </w:t>
      </w:r>
    </w:p>
    <w:p w14:paraId="33C0CFD4" w14:textId="77777777" w:rsidR="00BB29F8" w:rsidRDefault="00BB29F8" w:rsidP="00BB29F8">
      <w:pPr>
        <w:pStyle w:val="ListParagraph"/>
        <w:numPr>
          <w:ilvl w:val="0"/>
          <w:numId w:val="1"/>
        </w:numPr>
      </w:pPr>
      <w:r>
        <w:t xml:space="preserve">Any patient who also has another specialist nurse involved </w:t>
      </w:r>
      <w:proofErr w:type="spellStart"/>
      <w:r>
        <w:t>eg</w:t>
      </w:r>
      <w:proofErr w:type="spellEnd"/>
      <w:r>
        <w:t xml:space="preserve"> LTCC, Oncology, Cancer specialist nurse, Neurology nurse etc</w:t>
      </w:r>
    </w:p>
    <w:p w14:paraId="06F1C066" w14:textId="3FDB7C59" w:rsidR="00BB29F8" w:rsidRDefault="00BB29F8" w:rsidP="00BB29F8">
      <w:pPr>
        <w:pStyle w:val="ListParagraph"/>
        <w:numPr>
          <w:ilvl w:val="0"/>
          <w:numId w:val="1"/>
        </w:numPr>
      </w:pPr>
      <w:r>
        <w:t>Palliative patients not in the last 4 weeks of life</w:t>
      </w:r>
    </w:p>
    <w:p w14:paraId="55B8EAB1" w14:textId="77777777" w:rsidR="00DE71BB" w:rsidRDefault="00DE71BB" w:rsidP="00DE71BB">
      <w:pPr>
        <w:pStyle w:val="ListParagraph"/>
      </w:pPr>
    </w:p>
    <w:tbl>
      <w:tblPr>
        <w:tblStyle w:val="TableGrid"/>
        <w:tblpPr w:leftFromText="180" w:rightFromText="180" w:vertAnchor="text" w:tblpY="-47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552"/>
        <w:gridCol w:w="2835"/>
      </w:tblGrid>
      <w:tr w:rsidR="008A30ED" w14:paraId="460B451B" w14:textId="77777777" w:rsidTr="005D3F83">
        <w:trPr>
          <w:trHeight w:val="527"/>
        </w:trPr>
        <w:tc>
          <w:tcPr>
            <w:tcW w:w="2265" w:type="dxa"/>
          </w:tcPr>
          <w:p w14:paraId="46389377" w14:textId="77777777" w:rsidR="008A30ED" w:rsidRDefault="008A30ED" w:rsidP="008A30ED">
            <w:r>
              <w:t>Patient name</w:t>
            </w:r>
          </w:p>
        </w:tc>
        <w:tc>
          <w:tcPr>
            <w:tcW w:w="2408" w:type="dxa"/>
          </w:tcPr>
          <w:p w14:paraId="037E27AF" w14:textId="77777777" w:rsidR="008A30ED" w:rsidRDefault="008A30ED" w:rsidP="008A30ED"/>
        </w:tc>
        <w:tc>
          <w:tcPr>
            <w:tcW w:w="2552" w:type="dxa"/>
            <w:tcBorders>
              <w:bottom w:val="nil"/>
              <w:right w:val="nil"/>
            </w:tcBorders>
          </w:tcPr>
          <w:p w14:paraId="19C503D2" w14:textId="3FB26183" w:rsidR="008A30ED" w:rsidRDefault="008A30ED" w:rsidP="008A30ED">
            <w:r>
              <w:t>Reason for referral</w:t>
            </w:r>
            <w:r w:rsidR="00AE528A">
              <w:t xml:space="preserve"> </w:t>
            </w:r>
            <w:r w:rsidR="00AE528A" w:rsidRPr="00AE528A">
              <w:rPr>
                <w:sz w:val="16"/>
                <w:szCs w:val="16"/>
              </w:rPr>
              <w:t>(please tick one)</w:t>
            </w: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36305F50" w14:textId="6ABC5C19" w:rsidR="008A30ED" w:rsidRDefault="008A30ED" w:rsidP="008A30ED">
            <w:r>
              <w:t>TC</w:t>
            </w:r>
            <w:r w:rsidR="00FC2E67">
              <w:t xml:space="preserve"> </w:t>
            </w:r>
            <w:r>
              <w:t xml:space="preserve"> </w:t>
            </w:r>
            <w:sdt>
              <w:sdtPr>
                <w:id w:val="-182627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C55999" w14:textId="77777777" w:rsidR="008A30ED" w:rsidRPr="009D4014" w:rsidRDefault="008A30ED" w:rsidP="008A30ED">
            <w:pPr>
              <w:rPr>
                <w:sz w:val="16"/>
                <w:szCs w:val="16"/>
              </w:rPr>
            </w:pPr>
            <w:r w:rsidRPr="009D4014">
              <w:rPr>
                <w:sz w:val="16"/>
                <w:szCs w:val="16"/>
              </w:rPr>
              <w:t>Must be in the last weeks of life</w:t>
            </w:r>
          </w:p>
        </w:tc>
      </w:tr>
      <w:tr w:rsidR="008A30ED" w14:paraId="7FECA879" w14:textId="77777777" w:rsidTr="005D3F83">
        <w:trPr>
          <w:trHeight w:val="527"/>
        </w:trPr>
        <w:tc>
          <w:tcPr>
            <w:tcW w:w="2265" w:type="dxa"/>
          </w:tcPr>
          <w:p w14:paraId="396706D5" w14:textId="77777777" w:rsidR="008A30ED" w:rsidRDefault="008A30ED" w:rsidP="008A30ED">
            <w:r>
              <w:t>DOB</w:t>
            </w:r>
          </w:p>
        </w:tc>
        <w:tc>
          <w:tcPr>
            <w:tcW w:w="2408" w:type="dxa"/>
          </w:tcPr>
          <w:p w14:paraId="407DF40B" w14:textId="77777777" w:rsidR="008A30ED" w:rsidRDefault="008A30ED" w:rsidP="008A30ED"/>
        </w:tc>
        <w:tc>
          <w:tcPr>
            <w:tcW w:w="2552" w:type="dxa"/>
            <w:tcBorders>
              <w:top w:val="nil"/>
              <w:right w:val="nil"/>
            </w:tcBorders>
          </w:tcPr>
          <w:p w14:paraId="3B081B98" w14:textId="77777777" w:rsidR="008A30ED" w:rsidRDefault="008A30ED" w:rsidP="008A30ED"/>
        </w:tc>
        <w:tc>
          <w:tcPr>
            <w:tcW w:w="2835" w:type="dxa"/>
            <w:tcBorders>
              <w:top w:val="nil"/>
              <w:left w:val="nil"/>
            </w:tcBorders>
          </w:tcPr>
          <w:p w14:paraId="411768A4" w14:textId="77777777" w:rsidR="008A30ED" w:rsidRDefault="008A30ED" w:rsidP="008A30ED">
            <w:r>
              <w:t xml:space="preserve">SM </w:t>
            </w:r>
            <w:sdt>
              <w:sdtPr>
                <w:id w:val="-144892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A162DED" w14:textId="79F0D177" w:rsidR="008A30ED" w:rsidRPr="009D4014" w:rsidRDefault="008A30ED" w:rsidP="008A30ED">
            <w:pPr>
              <w:rPr>
                <w:sz w:val="16"/>
                <w:szCs w:val="16"/>
              </w:rPr>
            </w:pPr>
            <w:r w:rsidRPr="009D4014">
              <w:rPr>
                <w:sz w:val="16"/>
                <w:szCs w:val="16"/>
              </w:rPr>
              <w:t xml:space="preserve">(see </w:t>
            </w:r>
            <w:r w:rsidR="00A11247" w:rsidRPr="009D4014">
              <w:rPr>
                <w:sz w:val="16"/>
                <w:szCs w:val="16"/>
              </w:rPr>
              <w:t>guida</w:t>
            </w:r>
            <w:r w:rsidR="00A11247">
              <w:rPr>
                <w:sz w:val="16"/>
                <w:szCs w:val="16"/>
              </w:rPr>
              <w:t>nce</w:t>
            </w:r>
            <w:r w:rsidRPr="009D4014">
              <w:rPr>
                <w:sz w:val="16"/>
                <w:szCs w:val="16"/>
              </w:rPr>
              <w:t xml:space="preserve"> below)</w:t>
            </w:r>
          </w:p>
        </w:tc>
      </w:tr>
      <w:tr w:rsidR="008A30ED" w14:paraId="572D7073" w14:textId="77777777" w:rsidTr="005D3F83">
        <w:trPr>
          <w:trHeight w:val="555"/>
        </w:trPr>
        <w:tc>
          <w:tcPr>
            <w:tcW w:w="2265" w:type="dxa"/>
          </w:tcPr>
          <w:p w14:paraId="35081FD2" w14:textId="77777777" w:rsidR="008A30ED" w:rsidRDefault="008A30ED" w:rsidP="008A30ED">
            <w:r>
              <w:t>Address</w:t>
            </w:r>
          </w:p>
        </w:tc>
        <w:tc>
          <w:tcPr>
            <w:tcW w:w="2408" w:type="dxa"/>
          </w:tcPr>
          <w:p w14:paraId="13B98A7E" w14:textId="77777777" w:rsidR="008A30ED" w:rsidRDefault="008A30ED" w:rsidP="008A30ED"/>
        </w:tc>
        <w:tc>
          <w:tcPr>
            <w:tcW w:w="2552" w:type="dxa"/>
          </w:tcPr>
          <w:p w14:paraId="5002B706" w14:textId="77777777" w:rsidR="008A30ED" w:rsidRDefault="008A30ED" w:rsidP="008A30ED">
            <w:r>
              <w:t>Urgent</w:t>
            </w:r>
          </w:p>
        </w:tc>
        <w:tc>
          <w:tcPr>
            <w:tcW w:w="2835" w:type="dxa"/>
          </w:tcPr>
          <w:p w14:paraId="4264A3CD" w14:textId="7E47AFA3" w:rsidR="008A30ED" w:rsidRDefault="008A30ED" w:rsidP="00AE528A">
            <w:pPr>
              <w:tabs>
                <w:tab w:val="right" w:pos="2019"/>
              </w:tabs>
            </w:pPr>
            <w:r>
              <w:t xml:space="preserve">Y </w:t>
            </w:r>
            <w:sdt>
              <w:sdtPr>
                <w:id w:val="162951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2E67">
              <w:t xml:space="preserve"> </w:t>
            </w:r>
            <w:r>
              <w:t xml:space="preserve">or N </w:t>
            </w:r>
            <w:sdt>
              <w:sdtPr>
                <w:id w:val="-793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528A">
              <w:tab/>
            </w:r>
          </w:p>
          <w:p w14:paraId="13344450" w14:textId="4BE7961A" w:rsidR="00AE528A" w:rsidRPr="00AE528A" w:rsidRDefault="00AE528A" w:rsidP="00AE528A">
            <w:pPr>
              <w:tabs>
                <w:tab w:val="right" w:pos="2019"/>
              </w:tabs>
              <w:rPr>
                <w:sz w:val="16"/>
                <w:szCs w:val="16"/>
              </w:rPr>
            </w:pPr>
            <w:r w:rsidRPr="00AE528A">
              <w:rPr>
                <w:sz w:val="16"/>
                <w:szCs w:val="16"/>
              </w:rPr>
              <w:t>If Urgent also ring 647475 or 647406 out of working hours</w:t>
            </w:r>
          </w:p>
        </w:tc>
      </w:tr>
      <w:tr w:rsidR="008A30ED" w14:paraId="24CDBC53" w14:textId="77777777" w:rsidTr="005D3F83">
        <w:trPr>
          <w:trHeight w:val="527"/>
        </w:trPr>
        <w:tc>
          <w:tcPr>
            <w:tcW w:w="2265" w:type="dxa"/>
          </w:tcPr>
          <w:p w14:paraId="053FDF3F" w14:textId="77777777" w:rsidR="008A30ED" w:rsidRDefault="008A30ED" w:rsidP="008A30ED">
            <w:r>
              <w:t>Phone number</w:t>
            </w:r>
          </w:p>
        </w:tc>
        <w:tc>
          <w:tcPr>
            <w:tcW w:w="2408" w:type="dxa"/>
          </w:tcPr>
          <w:p w14:paraId="7E6423D6" w14:textId="77777777" w:rsidR="008A30ED" w:rsidRDefault="008A30ED" w:rsidP="008A30ED"/>
        </w:tc>
        <w:tc>
          <w:tcPr>
            <w:tcW w:w="2552" w:type="dxa"/>
          </w:tcPr>
          <w:p w14:paraId="62BFD289" w14:textId="77777777" w:rsidR="008A30ED" w:rsidRDefault="008A30ED" w:rsidP="008A30ED">
            <w:r>
              <w:t>DNACPR</w:t>
            </w:r>
          </w:p>
        </w:tc>
        <w:tc>
          <w:tcPr>
            <w:tcW w:w="2835" w:type="dxa"/>
          </w:tcPr>
          <w:p w14:paraId="73FCAD1B" w14:textId="08BE0EBA" w:rsidR="008A30ED" w:rsidRDefault="008A30ED" w:rsidP="008A30ED">
            <w:r>
              <w:t xml:space="preserve">Y </w:t>
            </w:r>
            <w:sdt>
              <w:sdtPr>
                <w:id w:val="209482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2E67">
              <w:t xml:space="preserve"> </w:t>
            </w:r>
            <w:r>
              <w:t xml:space="preserve">or N </w:t>
            </w:r>
            <w:sdt>
              <w:sdtPr>
                <w:id w:val="123597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89CEC2" w14:textId="77777777" w:rsidR="008A30ED" w:rsidRDefault="008A30ED" w:rsidP="008A30ED">
            <w:r w:rsidRPr="009D4014">
              <w:rPr>
                <w:sz w:val="16"/>
                <w:szCs w:val="16"/>
              </w:rPr>
              <w:t xml:space="preserve">If </w:t>
            </w:r>
            <w:proofErr w:type="gramStart"/>
            <w:r w:rsidRPr="009D4014">
              <w:rPr>
                <w:sz w:val="16"/>
                <w:szCs w:val="16"/>
              </w:rPr>
              <w:t>not</w:t>
            </w:r>
            <w:proofErr w:type="gramEnd"/>
            <w:r w:rsidRPr="009D4014">
              <w:rPr>
                <w:sz w:val="16"/>
                <w:szCs w:val="16"/>
              </w:rPr>
              <w:t xml:space="preserve"> we cannot accept ref for TC</w:t>
            </w:r>
          </w:p>
        </w:tc>
      </w:tr>
      <w:tr w:rsidR="008A30ED" w14:paraId="7B65C5F2" w14:textId="77777777" w:rsidTr="005D3F83">
        <w:trPr>
          <w:trHeight w:val="527"/>
        </w:trPr>
        <w:tc>
          <w:tcPr>
            <w:tcW w:w="2265" w:type="dxa"/>
          </w:tcPr>
          <w:p w14:paraId="03BE7973" w14:textId="745AE344" w:rsidR="008A30ED" w:rsidRDefault="008A30ED" w:rsidP="008A30ED">
            <w:r>
              <w:t>NOK (</w:t>
            </w:r>
            <w:proofErr w:type="spellStart"/>
            <w:r>
              <w:t>inc</w:t>
            </w:r>
            <w:proofErr w:type="spellEnd"/>
            <w:r>
              <w:t xml:space="preserve"> contact detail and relationship)</w:t>
            </w:r>
          </w:p>
        </w:tc>
        <w:tc>
          <w:tcPr>
            <w:tcW w:w="2408" w:type="dxa"/>
          </w:tcPr>
          <w:p w14:paraId="3D45D438" w14:textId="77777777" w:rsidR="008A30ED" w:rsidRDefault="008A30ED" w:rsidP="008A30ED"/>
        </w:tc>
        <w:tc>
          <w:tcPr>
            <w:tcW w:w="2552" w:type="dxa"/>
          </w:tcPr>
          <w:p w14:paraId="3AEB3EF6" w14:textId="77777777" w:rsidR="008A30ED" w:rsidRDefault="008A30ED" w:rsidP="008A30ED">
            <w:r>
              <w:t>TEP</w:t>
            </w:r>
          </w:p>
        </w:tc>
        <w:tc>
          <w:tcPr>
            <w:tcW w:w="2835" w:type="dxa"/>
          </w:tcPr>
          <w:p w14:paraId="6DDB3C4E" w14:textId="232BB670" w:rsidR="008A30ED" w:rsidRDefault="008A30ED" w:rsidP="008A30ED">
            <w:r>
              <w:t xml:space="preserve">Y </w:t>
            </w:r>
            <w:sdt>
              <w:sdtPr>
                <w:id w:val="-33739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E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2E67">
              <w:t xml:space="preserve"> </w:t>
            </w:r>
            <w:r>
              <w:t xml:space="preserve">or N </w:t>
            </w:r>
            <w:sdt>
              <w:sdtPr>
                <w:id w:val="-108529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A56D7B" w14:textId="77777777" w:rsidR="008A30ED" w:rsidRDefault="008A30ED" w:rsidP="008A30ED">
            <w:r w:rsidRPr="009D4014">
              <w:rPr>
                <w:sz w:val="16"/>
                <w:szCs w:val="16"/>
              </w:rPr>
              <w:t xml:space="preserve">If </w:t>
            </w:r>
            <w:proofErr w:type="gramStart"/>
            <w:r w:rsidRPr="009D4014">
              <w:rPr>
                <w:sz w:val="16"/>
                <w:szCs w:val="16"/>
              </w:rPr>
              <w:t>not</w:t>
            </w:r>
            <w:proofErr w:type="gramEnd"/>
            <w:r w:rsidRPr="009D4014">
              <w:rPr>
                <w:sz w:val="16"/>
                <w:szCs w:val="16"/>
              </w:rPr>
              <w:t xml:space="preserve"> we cannot accept ref for TC</w:t>
            </w:r>
          </w:p>
        </w:tc>
      </w:tr>
      <w:tr w:rsidR="008A30ED" w14:paraId="653E197A" w14:textId="77777777" w:rsidTr="005D3F83">
        <w:trPr>
          <w:trHeight w:val="527"/>
        </w:trPr>
        <w:tc>
          <w:tcPr>
            <w:tcW w:w="2265" w:type="dxa"/>
          </w:tcPr>
          <w:p w14:paraId="0D74C175" w14:textId="0D0655DE" w:rsidR="008A30ED" w:rsidRDefault="008A30ED" w:rsidP="008A30ED">
            <w:r>
              <w:t>Lives alone?</w:t>
            </w:r>
          </w:p>
        </w:tc>
        <w:tc>
          <w:tcPr>
            <w:tcW w:w="2408" w:type="dxa"/>
          </w:tcPr>
          <w:p w14:paraId="532E6E09" w14:textId="05B262F6" w:rsidR="008A30ED" w:rsidRDefault="008A30ED" w:rsidP="008A30ED">
            <w:r>
              <w:t xml:space="preserve">Y </w:t>
            </w:r>
            <w:sdt>
              <w:sdtPr>
                <w:id w:val="-96604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2E67">
              <w:t xml:space="preserve"> </w:t>
            </w:r>
            <w:r>
              <w:t xml:space="preserve">or N </w:t>
            </w:r>
            <w:sdt>
              <w:sdtPr>
                <w:id w:val="192090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7402284" w14:textId="1812132B" w:rsidR="008A30ED" w:rsidRDefault="008A30ED" w:rsidP="008A30ED">
            <w:r>
              <w:t>Package of Care?</w:t>
            </w:r>
          </w:p>
        </w:tc>
        <w:tc>
          <w:tcPr>
            <w:tcW w:w="2835" w:type="dxa"/>
          </w:tcPr>
          <w:p w14:paraId="3278F43A" w14:textId="5F02B3A3" w:rsidR="008A30ED" w:rsidRDefault="008A30ED" w:rsidP="008A30ED">
            <w:r>
              <w:t xml:space="preserve">Y </w:t>
            </w:r>
            <w:sdt>
              <w:sdtPr>
                <w:id w:val="28392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C2E67">
              <w:t xml:space="preserve"> </w:t>
            </w:r>
            <w:r>
              <w:t xml:space="preserve">or N </w:t>
            </w:r>
            <w:sdt>
              <w:sdtPr>
                <w:id w:val="-6875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8069F" w14:paraId="583C4039" w14:textId="77777777" w:rsidTr="0038069F">
        <w:trPr>
          <w:trHeight w:val="527"/>
        </w:trPr>
        <w:tc>
          <w:tcPr>
            <w:tcW w:w="2265" w:type="dxa"/>
          </w:tcPr>
          <w:p w14:paraId="7D422203" w14:textId="77777777" w:rsidR="0038069F" w:rsidRDefault="0038069F" w:rsidP="008A30ED">
            <w:r>
              <w:t>Consent for referral</w:t>
            </w:r>
          </w:p>
          <w:sdt>
            <w:sdtPr>
              <w:id w:val="-1677101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8D622" w14:textId="4E2755AA" w:rsidR="0038069F" w:rsidRDefault="0038069F" w:rsidP="008A30E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408" w:type="dxa"/>
          </w:tcPr>
          <w:p w14:paraId="033BB1EB" w14:textId="514AEEB2" w:rsidR="0038069F" w:rsidRDefault="0038069F" w:rsidP="008A30ED">
            <w:r>
              <w:t xml:space="preserve">Consent to record sharing </w:t>
            </w:r>
            <w:sdt>
              <w:sdtPr>
                <w:id w:val="172841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412ADD5" w14:textId="1396FDCC" w:rsidR="0038069F" w:rsidRPr="008A30ED" w:rsidRDefault="0038069F" w:rsidP="008A30ED">
            <w:pPr>
              <w:rPr>
                <w:sz w:val="22"/>
                <w:szCs w:val="22"/>
              </w:rPr>
            </w:pPr>
            <w:r w:rsidRPr="008A30ED">
              <w:rPr>
                <w:sz w:val="22"/>
                <w:szCs w:val="22"/>
              </w:rPr>
              <w:t xml:space="preserve">Location of patient       </w:t>
            </w:r>
          </w:p>
        </w:tc>
        <w:tc>
          <w:tcPr>
            <w:tcW w:w="2835" w:type="dxa"/>
          </w:tcPr>
          <w:p w14:paraId="42A893D6" w14:textId="44C0C742" w:rsidR="0038069F" w:rsidRPr="008A30ED" w:rsidRDefault="0038069F" w:rsidP="008A30ED">
            <w:pPr>
              <w:rPr>
                <w:sz w:val="22"/>
                <w:szCs w:val="22"/>
              </w:rPr>
            </w:pPr>
            <w:r w:rsidRPr="008A30ED">
              <w:rPr>
                <w:sz w:val="22"/>
                <w:szCs w:val="22"/>
              </w:rPr>
              <w:t xml:space="preserve">Home </w:t>
            </w:r>
            <w:sdt>
              <w:sdtPr>
                <w:rPr>
                  <w:sz w:val="22"/>
                  <w:szCs w:val="22"/>
                </w:rPr>
                <w:id w:val="84613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0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A30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Pr="008A30ED">
              <w:rPr>
                <w:sz w:val="22"/>
                <w:szCs w:val="22"/>
              </w:rPr>
              <w:t xml:space="preserve">Hospital </w:t>
            </w:r>
            <w:sdt>
              <w:sdtPr>
                <w:rPr>
                  <w:sz w:val="22"/>
                  <w:szCs w:val="22"/>
                </w:rPr>
                <w:id w:val="58240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30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A30ED" w14:paraId="2EF898E5" w14:textId="77777777" w:rsidTr="005D3F83">
        <w:trPr>
          <w:trHeight w:val="527"/>
        </w:trPr>
        <w:tc>
          <w:tcPr>
            <w:tcW w:w="2265" w:type="dxa"/>
          </w:tcPr>
          <w:p w14:paraId="0A67D2F2" w14:textId="77777777" w:rsidR="008A30ED" w:rsidRDefault="008A30ED" w:rsidP="008A30ED">
            <w:r>
              <w:t>Person completing the referral</w:t>
            </w:r>
          </w:p>
        </w:tc>
        <w:tc>
          <w:tcPr>
            <w:tcW w:w="2408" w:type="dxa"/>
          </w:tcPr>
          <w:p w14:paraId="4C145578" w14:textId="77777777" w:rsidR="008A30ED" w:rsidRDefault="008A30ED" w:rsidP="008A30ED"/>
        </w:tc>
        <w:tc>
          <w:tcPr>
            <w:tcW w:w="2552" w:type="dxa"/>
          </w:tcPr>
          <w:p w14:paraId="431FC857" w14:textId="77777777" w:rsidR="008A30ED" w:rsidRDefault="008A30ED" w:rsidP="008A30ED">
            <w:r>
              <w:t>GP details</w:t>
            </w:r>
          </w:p>
        </w:tc>
        <w:tc>
          <w:tcPr>
            <w:tcW w:w="2835" w:type="dxa"/>
          </w:tcPr>
          <w:p w14:paraId="35559317" w14:textId="77777777" w:rsidR="008A30ED" w:rsidRDefault="008A30ED" w:rsidP="008A30ED"/>
        </w:tc>
      </w:tr>
    </w:tbl>
    <w:p w14:paraId="04AB4D84" w14:textId="77777777" w:rsidR="00BB29F8" w:rsidRDefault="00BB29F8" w:rsidP="00BB29F8"/>
    <w:p w14:paraId="46F4B662" w14:textId="77777777" w:rsidR="009D4014" w:rsidRDefault="009D4014" w:rsidP="009D4014"/>
    <w:p w14:paraId="367B26B7" w14:textId="77777777" w:rsidR="00DE71BB" w:rsidRDefault="00DE71BB" w:rsidP="00BB29F8">
      <w:pPr>
        <w:rPr>
          <w:b/>
          <w:bCs/>
          <w:u w:val="single"/>
        </w:rPr>
      </w:pPr>
    </w:p>
    <w:p w14:paraId="7ED79FB7" w14:textId="77777777" w:rsidR="00DE71BB" w:rsidRDefault="00DE71BB" w:rsidP="00BB29F8">
      <w:pPr>
        <w:rPr>
          <w:b/>
          <w:bCs/>
          <w:u w:val="single"/>
        </w:rPr>
      </w:pPr>
    </w:p>
    <w:p w14:paraId="54D597DC" w14:textId="2D89142C" w:rsidR="00BB29F8" w:rsidRDefault="00BB29F8" w:rsidP="00BB29F8">
      <w:pPr>
        <w:rPr>
          <w:b/>
          <w:bCs/>
          <w:u w:val="single"/>
        </w:rPr>
      </w:pPr>
      <w:r>
        <w:rPr>
          <w:b/>
          <w:bCs/>
          <w:u w:val="single"/>
        </w:rPr>
        <w:t>FOR TERMINAL CARE REFERRALS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1"/>
        <w:gridCol w:w="564"/>
        <w:gridCol w:w="1503"/>
        <w:gridCol w:w="124"/>
        <w:gridCol w:w="1378"/>
        <w:gridCol w:w="814"/>
        <w:gridCol w:w="3094"/>
      </w:tblGrid>
      <w:tr w:rsidR="00BB29F8" w14:paraId="28F9D655" w14:textId="1DF85384" w:rsidTr="005D3F83">
        <w:tc>
          <w:tcPr>
            <w:tcW w:w="2441" w:type="dxa"/>
          </w:tcPr>
          <w:p w14:paraId="0A51B69F" w14:textId="341207E8" w:rsidR="00BB29F8" w:rsidRDefault="00BB29F8" w:rsidP="00BB29F8">
            <w:r>
              <w:t>Eating</w:t>
            </w:r>
          </w:p>
        </w:tc>
        <w:tc>
          <w:tcPr>
            <w:tcW w:w="2191" w:type="dxa"/>
            <w:gridSpan w:val="3"/>
          </w:tcPr>
          <w:p w14:paraId="7BD7A6F5" w14:textId="36295991" w:rsidR="00BB29F8" w:rsidRDefault="00BB29F8" w:rsidP="00BB29F8">
            <w:r>
              <w:t xml:space="preserve">Normal </w:t>
            </w:r>
            <w:sdt>
              <w:sdtPr>
                <w:id w:val="1707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2" w:type="dxa"/>
            <w:gridSpan w:val="2"/>
          </w:tcPr>
          <w:p w14:paraId="1B2D03DC" w14:textId="5893F1CC" w:rsidR="00BB29F8" w:rsidRDefault="00BB29F8" w:rsidP="00BB29F8">
            <w:r>
              <w:t xml:space="preserve">Less </w:t>
            </w:r>
            <w:sdt>
              <w:sdtPr>
                <w:id w:val="-1158918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4" w:type="dxa"/>
          </w:tcPr>
          <w:p w14:paraId="5AA8B83B" w14:textId="277D6701" w:rsidR="00BB29F8" w:rsidRDefault="00BB29F8" w:rsidP="00BB29F8">
            <w:r>
              <w:t xml:space="preserve">None </w:t>
            </w:r>
            <w:sdt>
              <w:sdtPr>
                <w:id w:val="-7258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B29F8" w14:paraId="0452D621" w14:textId="15B0A200" w:rsidTr="005D3F83">
        <w:tc>
          <w:tcPr>
            <w:tcW w:w="2441" w:type="dxa"/>
          </w:tcPr>
          <w:p w14:paraId="13A03254" w14:textId="49E9CE90" w:rsidR="00BB29F8" w:rsidRDefault="00BB29F8" w:rsidP="00BB29F8">
            <w:r>
              <w:t>Drinking</w:t>
            </w:r>
          </w:p>
        </w:tc>
        <w:tc>
          <w:tcPr>
            <w:tcW w:w="2191" w:type="dxa"/>
            <w:gridSpan w:val="3"/>
          </w:tcPr>
          <w:p w14:paraId="03B783E1" w14:textId="77422E07" w:rsidR="00BB29F8" w:rsidRDefault="00BB29F8" w:rsidP="00BB29F8">
            <w:r>
              <w:t xml:space="preserve">Normal </w:t>
            </w:r>
            <w:sdt>
              <w:sdtPr>
                <w:id w:val="57039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2" w:type="dxa"/>
            <w:gridSpan w:val="2"/>
          </w:tcPr>
          <w:p w14:paraId="324B0D88" w14:textId="5CD3DE38" w:rsidR="00BB29F8" w:rsidRDefault="00BB29F8" w:rsidP="00BB29F8">
            <w:r>
              <w:t xml:space="preserve">Less/sips </w:t>
            </w:r>
            <w:sdt>
              <w:sdtPr>
                <w:id w:val="19535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4" w:type="dxa"/>
          </w:tcPr>
          <w:p w14:paraId="3443A96D" w14:textId="4ACFA0CC" w:rsidR="00BB29F8" w:rsidRDefault="00BB29F8" w:rsidP="00BB29F8">
            <w:r>
              <w:t xml:space="preserve">None </w:t>
            </w:r>
            <w:sdt>
              <w:sdtPr>
                <w:id w:val="-119854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B29F8" w14:paraId="2F23BCAB" w14:textId="22C782C1" w:rsidTr="005D3F83">
        <w:tc>
          <w:tcPr>
            <w:tcW w:w="2441" w:type="dxa"/>
          </w:tcPr>
          <w:p w14:paraId="78ED5A8B" w14:textId="340F50B8" w:rsidR="00BB29F8" w:rsidRDefault="00BB29F8" w:rsidP="00BB29F8">
            <w:r>
              <w:t>Urination</w:t>
            </w:r>
          </w:p>
        </w:tc>
        <w:tc>
          <w:tcPr>
            <w:tcW w:w="2191" w:type="dxa"/>
            <w:gridSpan w:val="3"/>
          </w:tcPr>
          <w:p w14:paraId="44B78D4B" w14:textId="195DB873" w:rsidR="00BB29F8" w:rsidRDefault="00BB29F8" w:rsidP="00BB29F8">
            <w:r>
              <w:t xml:space="preserve">Normal </w:t>
            </w:r>
            <w:sdt>
              <w:sdtPr>
                <w:id w:val="-155862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2" w:type="dxa"/>
            <w:gridSpan w:val="2"/>
          </w:tcPr>
          <w:p w14:paraId="50B44765" w14:textId="4C3F4B5E" w:rsidR="00BB29F8" w:rsidRDefault="00BB29F8" w:rsidP="00BB29F8">
            <w:r>
              <w:t xml:space="preserve">Less </w:t>
            </w:r>
            <w:sdt>
              <w:sdtPr>
                <w:id w:val="-56572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4" w:type="dxa"/>
          </w:tcPr>
          <w:p w14:paraId="5AEFFCE1" w14:textId="5FEA15CA" w:rsidR="00BB29F8" w:rsidRDefault="00BB29F8" w:rsidP="00BB29F8">
            <w:r>
              <w:t xml:space="preserve">None </w:t>
            </w:r>
            <w:sdt>
              <w:sdtPr>
                <w:id w:val="-101321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B29F8" w14:paraId="35B7F03A" w14:textId="43C52A9D" w:rsidTr="005D3F83">
        <w:tc>
          <w:tcPr>
            <w:tcW w:w="2441" w:type="dxa"/>
          </w:tcPr>
          <w:p w14:paraId="0909B0D6" w14:textId="0AA38DA1" w:rsidR="00BB29F8" w:rsidRDefault="00BB29F8" w:rsidP="00BB29F8">
            <w:r>
              <w:t>Defaecation</w:t>
            </w:r>
          </w:p>
        </w:tc>
        <w:tc>
          <w:tcPr>
            <w:tcW w:w="2191" w:type="dxa"/>
            <w:gridSpan w:val="3"/>
          </w:tcPr>
          <w:p w14:paraId="53D1A482" w14:textId="77308B2D" w:rsidR="00BB29F8" w:rsidRDefault="00BB29F8" w:rsidP="00BB29F8">
            <w:r>
              <w:t xml:space="preserve">Normal </w:t>
            </w:r>
            <w:sdt>
              <w:sdtPr>
                <w:id w:val="71971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2" w:type="dxa"/>
            <w:gridSpan w:val="2"/>
          </w:tcPr>
          <w:p w14:paraId="2CA0F3DB" w14:textId="38FB8B53" w:rsidR="00BB29F8" w:rsidRDefault="00BB29F8" w:rsidP="00BB29F8">
            <w:r>
              <w:t xml:space="preserve">Loose </w:t>
            </w:r>
            <w:sdt>
              <w:sdtPr>
                <w:id w:val="-184315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4" w:type="dxa"/>
          </w:tcPr>
          <w:p w14:paraId="7E00B1EE" w14:textId="0CF97F4D" w:rsidR="00BB29F8" w:rsidRDefault="00BB29F8" w:rsidP="00BB29F8">
            <w:r>
              <w:t xml:space="preserve">Constipated </w:t>
            </w:r>
            <w:sdt>
              <w:sdtPr>
                <w:id w:val="17698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B29F8" w14:paraId="4D8FD845" w14:textId="7BB7030D" w:rsidTr="005D3F83">
        <w:tc>
          <w:tcPr>
            <w:tcW w:w="2441" w:type="dxa"/>
          </w:tcPr>
          <w:p w14:paraId="6C87A879" w14:textId="2E18550A" w:rsidR="00BB29F8" w:rsidRDefault="00BB29F8" w:rsidP="00BB29F8">
            <w:r>
              <w:t>Hours Asleep</w:t>
            </w:r>
          </w:p>
        </w:tc>
        <w:tc>
          <w:tcPr>
            <w:tcW w:w="7477" w:type="dxa"/>
            <w:gridSpan w:val="6"/>
          </w:tcPr>
          <w:p w14:paraId="36FCF2D9" w14:textId="0E398A50" w:rsidR="00BB29F8" w:rsidRDefault="00BB29F8" w:rsidP="00BB29F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Hours (in each </w:t>
            </w:r>
            <w:proofErr w:type="gramStart"/>
            <w:r>
              <w:t>24 hour</w:t>
            </w:r>
            <w:proofErr w:type="gramEnd"/>
            <w:r>
              <w:t xml:space="preserve"> period)</w:t>
            </w:r>
          </w:p>
        </w:tc>
      </w:tr>
      <w:tr w:rsidR="00BB29F8" w14:paraId="48303E6F" w14:textId="20FD42AE" w:rsidTr="005D3F83">
        <w:tc>
          <w:tcPr>
            <w:tcW w:w="2441" w:type="dxa"/>
          </w:tcPr>
          <w:p w14:paraId="2268B126" w14:textId="278107F4" w:rsidR="00BB29F8" w:rsidRDefault="00752024" w:rsidP="00BB29F8">
            <w:r>
              <w:t>Mobility</w:t>
            </w:r>
          </w:p>
        </w:tc>
        <w:tc>
          <w:tcPr>
            <w:tcW w:w="2191" w:type="dxa"/>
            <w:gridSpan w:val="3"/>
          </w:tcPr>
          <w:p w14:paraId="2560CFBB" w14:textId="2C00905C" w:rsidR="00BB29F8" w:rsidRDefault="00BB29F8" w:rsidP="00BB29F8">
            <w:r>
              <w:t xml:space="preserve">Not bedbound </w:t>
            </w:r>
            <w:sdt>
              <w:sdtPr>
                <w:id w:val="147255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2" w:type="dxa"/>
            <w:gridSpan w:val="2"/>
          </w:tcPr>
          <w:p w14:paraId="0E0DF302" w14:textId="4AF04115" w:rsidR="00BB29F8" w:rsidRDefault="00BB29F8" w:rsidP="00BB29F8">
            <w:r>
              <w:t xml:space="preserve">Transfers to chair only </w:t>
            </w:r>
            <w:sdt>
              <w:sdtPr>
                <w:id w:val="-141709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4" w:type="dxa"/>
          </w:tcPr>
          <w:p w14:paraId="2EF3CA81" w14:textId="480FBE4F" w:rsidR="00BB29F8" w:rsidRDefault="00BB29F8" w:rsidP="00BB29F8">
            <w:r>
              <w:t xml:space="preserve">Bedbound </w:t>
            </w:r>
            <w:sdt>
              <w:sdtPr>
                <w:id w:val="109945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B29F8" w14:paraId="34DAD692" w14:textId="59AC80AB" w:rsidTr="005D3F83">
        <w:tc>
          <w:tcPr>
            <w:tcW w:w="2441" w:type="dxa"/>
          </w:tcPr>
          <w:p w14:paraId="4859943E" w14:textId="6ADCAE52" w:rsidR="00BB29F8" w:rsidRDefault="00BB29F8" w:rsidP="00BB29F8">
            <w:r>
              <w:t>Consciousness</w:t>
            </w:r>
          </w:p>
        </w:tc>
        <w:tc>
          <w:tcPr>
            <w:tcW w:w="2191" w:type="dxa"/>
            <w:gridSpan w:val="3"/>
          </w:tcPr>
          <w:p w14:paraId="2F98F22E" w14:textId="6E1FDFE2" w:rsidR="00BB29F8" w:rsidRDefault="00BB29F8" w:rsidP="00BB29F8">
            <w:r>
              <w:t xml:space="preserve">Conscious </w:t>
            </w:r>
            <w:sdt>
              <w:sdtPr>
                <w:id w:val="-102216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92" w:type="dxa"/>
            <w:gridSpan w:val="2"/>
          </w:tcPr>
          <w:p w14:paraId="198F9885" w14:textId="27033B37" w:rsidR="00BB29F8" w:rsidRDefault="00BB29F8" w:rsidP="00BB29F8">
            <w:r>
              <w:t xml:space="preserve">Semi-conscious </w:t>
            </w:r>
            <w:sdt>
              <w:sdtPr>
                <w:id w:val="22773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94" w:type="dxa"/>
          </w:tcPr>
          <w:p w14:paraId="49D0F6BD" w14:textId="09A643A5" w:rsidR="00BB29F8" w:rsidRDefault="00BB29F8" w:rsidP="00BB29F8">
            <w:r>
              <w:t xml:space="preserve">Unconscious </w:t>
            </w:r>
            <w:sdt>
              <w:sdtPr>
                <w:id w:val="-96141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A30ED" w14:paraId="6318D324" w14:textId="77777777" w:rsidTr="005D3F83">
        <w:tc>
          <w:tcPr>
            <w:tcW w:w="3005" w:type="dxa"/>
            <w:gridSpan w:val="2"/>
          </w:tcPr>
          <w:p w14:paraId="44A01EED" w14:textId="77777777" w:rsidR="008A30ED" w:rsidRDefault="008A30ED" w:rsidP="00BB29F8">
            <w:r>
              <w:t xml:space="preserve">Prefer to die at Home </w:t>
            </w:r>
            <w:sdt>
              <w:sdtPr>
                <w:id w:val="123798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05" w:type="dxa"/>
            <w:gridSpan w:val="3"/>
          </w:tcPr>
          <w:p w14:paraId="7C58BFBD" w14:textId="73C0C059" w:rsidR="008A30ED" w:rsidRDefault="008A30ED" w:rsidP="00BB29F8">
            <w:r>
              <w:t xml:space="preserve">Prefer to die at Hospice </w:t>
            </w:r>
            <w:sdt>
              <w:sdtPr>
                <w:id w:val="64493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08" w:type="dxa"/>
            <w:gridSpan w:val="2"/>
          </w:tcPr>
          <w:p w14:paraId="3DE3B162" w14:textId="3DD808FA" w:rsidR="008A30ED" w:rsidRDefault="008A30ED" w:rsidP="00BB29F8">
            <w:r>
              <w:t xml:space="preserve">Prefer to die in Hospital  </w:t>
            </w:r>
            <w:sdt>
              <w:sdtPr>
                <w:id w:val="-15725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922B8" w14:paraId="43D0641B" w14:textId="77777777" w:rsidTr="005D3F83">
        <w:tc>
          <w:tcPr>
            <w:tcW w:w="4508" w:type="dxa"/>
            <w:gridSpan w:val="3"/>
          </w:tcPr>
          <w:p w14:paraId="3F8168E0" w14:textId="554D0B2E" w:rsidR="00B922B8" w:rsidRDefault="00B922B8" w:rsidP="00BB29F8">
            <w:r>
              <w:t xml:space="preserve">Blue MAR folder completed   Y </w:t>
            </w:r>
            <w:sdt>
              <w:sdtPr>
                <w:id w:val="43894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  </w:t>
            </w:r>
            <w:sdt>
              <w:sdtPr>
                <w:id w:val="-70139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10" w:type="dxa"/>
            <w:gridSpan w:val="4"/>
          </w:tcPr>
          <w:p w14:paraId="0BF15180" w14:textId="2319ACFC" w:rsidR="00B922B8" w:rsidRDefault="00B922B8" w:rsidP="00BB29F8">
            <w:r>
              <w:t xml:space="preserve">Anticipatory medications     Y </w:t>
            </w:r>
            <w:sdt>
              <w:sdtPr>
                <w:id w:val="52344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  </w:t>
            </w:r>
            <w:sdt>
              <w:sdtPr>
                <w:id w:val="-180476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AF437CA" w14:textId="77777777" w:rsidR="00BB29F8" w:rsidRDefault="00BB29F8" w:rsidP="00BB29F8"/>
    <w:p w14:paraId="0087469F" w14:textId="77777777" w:rsidR="00AE528A" w:rsidRDefault="00AE528A" w:rsidP="00BB29F8"/>
    <w:p w14:paraId="40A93358" w14:textId="4371BE35" w:rsidR="00BB29F8" w:rsidRDefault="00BB29F8" w:rsidP="00BB29F8">
      <w:pPr>
        <w:rPr>
          <w:b/>
          <w:bCs/>
          <w:u w:val="single"/>
        </w:rPr>
      </w:pPr>
      <w:r>
        <w:rPr>
          <w:b/>
          <w:bCs/>
          <w:u w:val="single"/>
        </w:rPr>
        <w:t>FOR COMPLEX SYMPTOM MANAGEMENT REFERRALS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BB29F8" w14:paraId="65A9E1FB" w14:textId="77777777" w:rsidTr="005D3F83">
        <w:tc>
          <w:tcPr>
            <w:tcW w:w="2405" w:type="dxa"/>
          </w:tcPr>
          <w:p w14:paraId="53147B6C" w14:textId="22B9EAE1" w:rsidR="00BB29F8" w:rsidRDefault="00BB29F8" w:rsidP="00BB29F8">
            <w:r>
              <w:t>Symptom</w:t>
            </w:r>
          </w:p>
        </w:tc>
        <w:tc>
          <w:tcPr>
            <w:tcW w:w="7513" w:type="dxa"/>
          </w:tcPr>
          <w:p w14:paraId="06E5F9F2" w14:textId="0C1ADEE3" w:rsidR="00D256AC" w:rsidRDefault="00A30817" w:rsidP="008A30ED">
            <w:r>
              <w:t xml:space="preserve">Pain </w:t>
            </w:r>
            <w:sdt>
              <w:sdtPr>
                <w:id w:val="-70863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6AC">
              <w:t xml:space="preserve">  </w:t>
            </w:r>
            <w:r>
              <w:t>Nausea/vomiting</w:t>
            </w:r>
            <w:r w:rsidR="00D256AC">
              <w:t xml:space="preserve"> </w:t>
            </w:r>
            <w:sdt>
              <w:sdtPr>
                <w:id w:val="-195254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D256AC">
              <w:t xml:space="preserve">  </w:t>
            </w:r>
            <w:r>
              <w:t xml:space="preserve">Breathlessness </w:t>
            </w:r>
            <w:sdt>
              <w:sdtPr>
                <w:id w:val="-20967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B23694" w14:textId="0D6D8DE3" w:rsidR="008A30ED" w:rsidRDefault="00A30817" w:rsidP="008A30ED">
            <w:pPr>
              <w:tabs>
                <w:tab w:val="left" w:pos="5246"/>
                <w:tab w:val="right" w:pos="6395"/>
              </w:tabs>
            </w:pPr>
            <w:r>
              <w:t xml:space="preserve">Fatigue </w:t>
            </w:r>
            <w:r w:rsidR="00D256AC">
              <w:t xml:space="preserve"> </w:t>
            </w:r>
            <w:sdt>
              <w:sdtPr>
                <w:id w:val="-14409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0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6AC">
              <w:t xml:space="preserve">  Agitation </w:t>
            </w:r>
            <w:sdt>
              <w:sdtPr>
                <w:id w:val="27575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6AC">
              <w:t xml:space="preserve">   </w:t>
            </w:r>
            <w:r w:rsidR="00B922B8">
              <w:t>Difficulty with oral route</w:t>
            </w:r>
            <w:r w:rsidR="00D256AC">
              <w:t xml:space="preserve"> </w:t>
            </w:r>
            <w:sdt>
              <w:sdtPr>
                <w:id w:val="-147058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6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CFCAF4" w14:textId="11770973" w:rsidR="00BB29F8" w:rsidRDefault="008A30ED" w:rsidP="008A30ED">
            <w:pPr>
              <w:tabs>
                <w:tab w:val="left" w:pos="5246"/>
                <w:tab w:val="right" w:pos="6395"/>
              </w:tabs>
            </w:pPr>
            <w:r>
              <w:t xml:space="preserve">Psychological distress </w:t>
            </w:r>
            <w:sdt>
              <w:sdtPr>
                <w:id w:val="60384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B29F8" w14:paraId="7A2D3C31" w14:textId="77777777" w:rsidTr="005D3F83">
        <w:tc>
          <w:tcPr>
            <w:tcW w:w="2405" w:type="dxa"/>
          </w:tcPr>
          <w:p w14:paraId="414F573D" w14:textId="05ADFE32" w:rsidR="00BB29F8" w:rsidRDefault="00BB29F8" w:rsidP="00BB29F8">
            <w:r>
              <w:t>Current management</w:t>
            </w:r>
          </w:p>
        </w:tc>
        <w:tc>
          <w:tcPr>
            <w:tcW w:w="7513" w:type="dxa"/>
          </w:tcPr>
          <w:p w14:paraId="1BD29F12" w14:textId="77777777" w:rsidR="00BB29F8" w:rsidRDefault="00BB29F8" w:rsidP="00BB29F8"/>
        </w:tc>
      </w:tr>
      <w:tr w:rsidR="00BB29F8" w14:paraId="4BBC1C54" w14:textId="77777777" w:rsidTr="005D3F83">
        <w:tc>
          <w:tcPr>
            <w:tcW w:w="2405" w:type="dxa"/>
          </w:tcPr>
          <w:p w14:paraId="346B2F05" w14:textId="67313347" w:rsidR="00BB29F8" w:rsidRDefault="00BB29F8" w:rsidP="00BB29F8">
            <w:r>
              <w:t>Previously tried</w:t>
            </w:r>
          </w:p>
        </w:tc>
        <w:tc>
          <w:tcPr>
            <w:tcW w:w="7513" w:type="dxa"/>
          </w:tcPr>
          <w:p w14:paraId="0EF7992D" w14:textId="77777777" w:rsidR="00BB29F8" w:rsidRDefault="00BB29F8" w:rsidP="00BB29F8"/>
        </w:tc>
      </w:tr>
      <w:tr w:rsidR="00BB29F8" w14:paraId="6CA51FEA" w14:textId="77777777" w:rsidTr="005D3F83">
        <w:tc>
          <w:tcPr>
            <w:tcW w:w="2405" w:type="dxa"/>
          </w:tcPr>
          <w:p w14:paraId="0A979936" w14:textId="7EA75164" w:rsidR="00BB29F8" w:rsidRDefault="00BB29F8" w:rsidP="00BB29F8">
            <w:r>
              <w:t>Reason for referral</w:t>
            </w:r>
          </w:p>
        </w:tc>
        <w:tc>
          <w:tcPr>
            <w:tcW w:w="7513" w:type="dxa"/>
          </w:tcPr>
          <w:p w14:paraId="74DD6629" w14:textId="77777777" w:rsidR="00BB29F8" w:rsidRDefault="00BB29F8" w:rsidP="00BB29F8"/>
        </w:tc>
      </w:tr>
    </w:tbl>
    <w:p w14:paraId="38F524A4" w14:textId="467D0685" w:rsidR="00BB29F8" w:rsidRDefault="00BB29F8" w:rsidP="00BB29F8">
      <w:pPr>
        <w:jc w:val="center"/>
        <w:rPr>
          <w:sz w:val="16"/>
          <w:szCs w:val="16"/>
        </w:rPr>
      </w:pPr>
      <w:r w:rsidRPr="00BB29F8">
        <w:rPr>
          <w:sz w:val="16"/>
          <w:szCs w:val="16"/>
        </w:rPr>
        <w:t>Patients accepted onto the complex symptom management caseload, will be discharged back to the care of the referring team as soon as their symptoms are managed and a plan is in place. If further issues arise, re-referral would be needed.</w:t>
      </w:r>
    </w:p>
    <w:p w14:paraId="67BEA605" w14:textId="77777777" w:rsidR="00AE528A" w:rsidRDefault="00AE528A" w:rsidP="00BB29F8">
      <w:pPr>
        <w:jc w:val="center"/>
        <w:rPr>
          <w:sz w:val="16"/>
          <w:szCs w:val="16"/>
        </w:rPr>
      </w:pPr>
    </w:p>
    <w:p w14:paraId="6430A111" w14:textId="77777777" w:rsidR="00DE71BB" w:rsidRPr="00BB29F8" w:rsidRDefault="00DE71BB" w:rsidP="00BB29F8">
      <w:pPr>
        <w:jc w:val="center"/>
        <w:rPr>
          <w:sz w:val="16"/>
          <w:szCs w:val="1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25"/>
        <w:gridCol w:w="5535"/>
      </w:tblGrid>
      <w:tr w:rsidR="001617FE" w14:paraId="024674DA" w14:textId="77777777" w:rsidTr="005D3F83">
        <w:trPr>
          <w:trHeight w:val="445"/>
        </w:trPr>
        <w:tc>
          <w:tcPr>
            <w:tcW w:w="4525" w:type="dxa"/>
          </w:tcPr>
          <w:p w14:paraId="26203587" w14:textId="427042B9" w:rsidR="001617FE" w:rsidRDefault="001617FE" w:rsidP="00BB29F8">
            <w:r>
              <w:t>Signature of referrer</w:t>
            </w:r>
          </w:p>
        </w:tc>
        <w:tc>
          <w:tcPr>
            <w:tcW w:w="5535" w:type="dxa"/>
          </w:tcPr>
          <w:p w14:paraId="3CB233F1" w14:textId="77777777" w:rsidR="001617FE" w:rsidRDefault="001617FE" w:rsidP="00BB29F8"/>
        </w:tc>
      </w:tr>
      <w:tr w:rsidR="001617FE" w14:paraId="6D297DA4" w14:textId="77777777" w:rsidTr="005D3F83">
        <w:trPr>
          <w:trHeight w:val="445"/>
        </w:trPr>
        <w:tc>
          <w:tcPr>
            <w:tcW w:w="4525" w:type="dxa"/>
          </w:tcPr>
          <w:p w14:paraId="63FD8D29" w14:textId="745C7595" w:rsidR="001617FE" w:rsidRDefault="001617FE" w:rsidP="00BB29F8">
            <w:r>
              <w:t>Email of referrer</w:t>
            </w:r>
          </w:p>
        </w:tc>
        <w:tc>
          <w:tcPr>
            <w:tcW w:w="5535" w:type="dxa"/>
          </w:tcPr>
          <w:p w14:paraId="111D400E" w14:textId="77777777" w:rsidR="001617FE" w:rsidRDefault="001617FE" w:rsidP="00BB29F8"/>
        </w:tc>
      </w:tr>
      <w:tr w:rsidR="001617FE" w14:paraId="2F3A23FC" w14:textId="77777777" w:rsidTr="005D3F83">
        <w:trPr>
          <w:trHeight w:val="468"/>
        </w:trPr>
        <w:tc>
          <w:tcPr>
            <w:tcW w:w="4525" w:type="dxa"/>
          </w:tcPr>
          <w:p w14:paraId="4138CB0B" w14:textId="5F991029" w:rsidR="001617FE" w:rsidRDefault="001617FE" w:rsidP="00BB29F8">
            <w:r>
              <w:t>Date of referral</w:t>
            </w:r>
          </w:p>
        </w:tc>
        <w:tc>
          <w:tcPr>
            <w:tcW w:w="5535" w:type="dxa"/>
          </w:tcPr>
          <w:p w14:paraId="3AD241FC" w14:textId="77777777" w:rsidR="001617FE" w:rsidRDefault="001617FE" w:rsidP="00BB29F8"/>
        </w:tc>
      </w:tr>
      <w:tr w:rsidR="001617FE" w14:paraId="67E9F095" w14:textId="77777777" w:rsidTr="005D3F83">
        <w:trPr>
          <w:trHeight w:val="421"/>
        </w:trPr>
        <w:tc>
          <w:tcPr>
            <w:tcW w:w="10060" w:type="dxa"/>
            <w:gridSpan w:val="2"/>
          </w:tcPr>
          <w:p w14:paraId="0A1522EF" w14:textId="2BE7D06F" w:rsidR="001617FE" w:rsidRDefault="001617FE" w:rsidP="00BB29F8">
            <w:r>
              <w:t xml:space="preserve">For office use only: </w:t>
            </w:r>
          </w:p>
        </w:tc>
      </w:tr>
    </w:tbl>
    <w:p w14:paraId="1E9A2F35" w14:textId="77777777" w:rsidR="00BB29F8" w:rsidRDefault="00BB29F8" w:rsidP="00BB29F8"/>
    <w:p w14:paraId="0E166D92" w14:textId="696D932A" w:rsidR="009D4014" w:rsidRDefault="009D4014" w:rsidP="009D4014">
      <w:pPr>
        <w:jc w:val="center"/>
        <w:rPr>
          <w:sz w:val="18"/>
          <w:szCs w:val="18"/>
          <w:u w:val="single"/>
        </w:rPr>
      </w:pPr>
      <w:r w:rsidRPr="009D4014">
        <w:rPr>
          <w:sz w:val="18"/>
          <w:szCs w:val="18"/>
          <w:u w:val="single"/>
        </w:rPr>
        <w:t xml:space="preserve">Disclaimer: Hospice Isle of Man is a charitable organisation </w:t>
      </w:r>
      <w:r w:rsidR="00F2021F">
        <w:rPr>
          <w:sz w:val="18"/>
          <w:szCs w:val="18"/>
          <w:u w:val="single"/>
        </w:rPr>
        <w:t>providing</w:t>
      </w:r>
      <w:r w:rsidRPr="009D4014">
        <w:rPr>
          <w:sz w:val="18"/>
          <w:szCs w:val="18"/>
          <w:u w:val="single"/>
        </w:rPr>
        <w:t xml:space="preserve"> specialist palliative and terminal care. </w:t>
      </w:r>
      <w:r w:rsidR="00BB29F8" w:rsidRPr="009D4014">
        <w:rPr>
          <w:sz w:val="18"/>
          <w:szCs w:val="18"/>
          <w:u w:val="single"/>
        </w:rPr>
        <w:t>The day</w:t>
      </w:r>
      <w:r w:rsidR="00BB29F8">
        <w:rPr>
          <w:sz w:val="18"/>
          <w:szCs w:val="18"/>
          <w:u w:val="single"/>
        </w:rPr>
        <w:t>-</w:t>
      </w:r>
      <w:r w:rsidR="00BB29F8" w:rsidRPr="009D4014">
        <w:rPr>
          <w:sz w:val="18"/>
          <w:szCs w:val="18"/>
          <w:u w:val="single"/>
        </w:rPr>
        <w:t>to</w:t>
      </w:r>
      <w:r w:rsidR="00BB29F8">
        <w:rPr>
          <w:sz w:val="18"/>
          <w:szCs w:val="18"/>
          <w:u w:val="single"/>
        </w:rPr>
        <w:t>-</w:t>
      </w:r>
      <w:r w:rsidR="00BB29F8" w:rsidRPr="009D4014">
        <w:rPr>
          <w:sz w:val="18"/>
          <w:szCs w:val="18"/>
          <w:u w:val="single"/>
        </w:rPr>
        <w:t>day care of the patient</w:t>
      </w:r>
      <w:r w:rsidRPr="009D4014">
        <w:rPr>
          <w:sz w:val="18"/>
          <w:szCs w:val="18"/>
          <w:u w:val="single"/>
        </w:rPr>
        <w:t xml:space="preserve"> remains the responsibility of the referring team (if in hospital), or GP. We work on an advisory basis only, unless agreement is made to take over the patient’s care completely </w:t>
      </w:r>
      <w:proofErr w:type="spellStart"/>
      <w:r w:rsidRPr="009D4014">
        <w:rPr>
          <w:sz w:val="18"/>
          <w:szCs w:val="18"/>
          <w:u w:val="single"/>
        </w:rPr>
        <w:t>eg</w:t>
      </w:r>
      <w:proofErr w:type="spellEnd"/>
      <w:r w:rsidRPr="009D4014">
        <w:rPr>
          <w:sz w:val="18"/>
          <w:szCs w:val="18"/>
          <w:u w:val="single"/>
        </w:rPr>
        <w:t xml:space="preserve"> admission to the inpatient unit. Completing this form acknowledges this and accepts the conditions of referral.</w:t>
      </w:r>
    </w:p>
    <w:p w14:paraId="06142D67" w14:textId="77777777" w:rsidR="00DE71BB" w:rsidRDefault="00DE71BB" w:rsidP="009D4014">
      <w:pPr>
        <w:jc w:val="center"/>
        <w:rPr>
          <w:sz w:val="18"/>
          <w:szCs w:val="18"/>
          <w:u w:val="single"/>
        </w:rPr>
      </w:pPr>
    </w:p>
    <w:p w14:paraId="31EA75A7" w14:textId="77777777" w:rsidR="005D3F83" w:rsidRDefault="005D3F83" w:rsidP="009D4014">
      <w:pPr>
        <w:jc w:val="center"/>
        <w:rPr>
          <w:sz w:val="18"/>
          <w:szCs w:val="18"/>
          <w:u w:val="single"/>
        </w:rPr>
      </w:pPr>
    </w:p>
    <w:p w14:paraId="61EAF630" w14:textId="028CEB59" w:rsidR="00DE71BB" w:rsidRPr="00DE71BB" w:rsidRDefault="00DE71BB" w:rsidP="009D4014">
      <w:pPr>
        <w:jc w:val="center"/>
        <w:rPr>
          <w:sz w:val="28"/>
          <w:szCs w:val="28"/>
          <w:u w:val="single"/>
        </w:rPr>
      </w:pPr>
      <w:r w:rsidRPr="00DE71BB">
        <w:rPr>
          <w:b/>
          <w:bCs/>
          <w:sz w:val="28"/>
          <w:szCs w:val="28"/>
        </w:rPr>
        <w:t>Please e-mail this referral form to:</w:t>
      </w:r>
      <w:r w:rsidRPr="00DE71BB">
        <w:rPr>
          <w:sz w:val="28"/>
          <w:szCs w:val="28"/>
          <w:u w:val="single"/>
        </w:rPr>
        <w:t xml:space="preserve"> </w:t>
      </w:r>
      <w:hyperlink r:id="rId8" w:history="1">
        <w:r w:rsidRPr="00DE71BB">
          <w:rPr>
            <w:rStyle w:val="Hyperlink"/>
            <w:sz w:val="28"/>
            <w:szCs w:val="28"/>
          </w:rPr>
          <w:t>referrals@hospice.org.im</w:t>
        </w:r>
      </w:hyperlink>
    </w:p>
    <w:p w14:paraId="05C385BA" w14:textId="77777777" w:rsidR="00DE71BB" w:rsidRPr="009D4014" w:rsidRDefault="00DE71BB" w:rsidP="009D4014">
      <w:pPr>
        <w:jc w:val="center"/>
        <w:rPr>
          <w:sz w:val="18"/>
          <w:szCs w:val="18"/>
          <w:u w:val="single"/>
        </w:rPr>
      </w:pPr>
    </w:p>
    <w:sectPr w:rsidR="00DE71BB" w:rsidRPr="009D4014" w:rsidSect="00DE71BB">
      <w:footerReference w:type="default" r:id="rId9"/>
      <w:pgSz w:w="11906" w:h="16838"/>
      <w:pgMar w:top="720" w:right="851" w:bottom="720" w:left="85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29053" w14:textId="77777777" w:rsidR="00DF4066" w:rsidRDefault="00DF4066" w:rsidP="001617FE">
      <w:pPr>
        <w:spacing w:after="0" w:line="240" w:lineRule="auto"/>
      </w:pPr>
      <w:r>
        <w:separator/>
      </w:r>
    </w:p>
  </w:endnote>
  <w:endnote w:type="continuationSeparator" w:id="0">
    <w:p w14:paraId="28E7835D" w14:textId="77777777" w:rsidR="00DF4066" w:rsidRDefault="00DF4066" w:rsidP="0016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D8F9" w14:textId="69281F6F" w:rsidR="001617FE" w:rsidRPr="001617FE" w:rsidRDefault="001617FE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1617FE">
      <w:rPr>
        <w:sz w:val="16"/>
        <w:szCs w:val="16"/>
      </w:rPr>
      <w:t>Hospice referral form 2026 J.</w:t>
    </w:r>
    <w:r w:rsidR="008A30ED">
      <w:rPr>
        <w:sz w:val="16"/>
        <w:szCs w:val="16"/>
      </w:rPr>
      <w:t xml:space="preserve"> </w:t>
    </w:r>
    <w:r w:rsidRPr="001617FE">
      <w:rPr>
        <w:sz w:val="16"/>
        <w:szCs w:val="16"/>
      </w:rPr>
      <w:t>Needham. review date July 2028</w:t>
    </w:r>
  </w:p>
  <w:p w14:paraId="706836A9" w14:textId="77777777" w:rsidR="001617FE" w:rsidRDefault="00161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433C" w14:textId="77777777" w:rsidR="00DF4066" w:rsidRDefault="00DF4066" w:rsidP="001617FE">
      <w:pPr>
        <w:spacing w:after="0" w:line="240" w:lineRule="auto"/>
      </w:pPr>
      <w:r>
        <w:separator/>
      </w:r>
    </w:p>
  </w:footnote>
  <w:footnote w:type="continuationSeparator" w:id="0">
    <w:p w14:paraId="2CFD3F9B" w14:textId="77777777" w:rsidR="00DF4066" w:rsidRDefault="00DF4066" w:rsidP="00161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522B"/>
    <w:multiLevelType w:val="hybridMultilevel"/>
    <w:tmpl w:val="2A542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3D48"/>
    <w:multiLevelType w:val="hybridMultilevel"/>
    <w:tmpl w:val="6338D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672227">
    <w:abstractNumId w:val="0"/>
  </w:num>
  <w:num w:numId="2" w16cid:durableId="140806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14"/>
    <w:rsid w:val="000D4A76"/>
    <w:rsid w:val="00130DE6"/>
    <w:rsid w:val="001617FE"/>
    <w:rsid w:val="001A5C71"/>
    <w:rsid w:val="001D4482"/>
    <w:rsid w:val="002519FF"/>
    <w:rsid w:val="0038069F"/>
    <w:rsid w:val="004C76D2"/>
    <w:rsid w:val="005B5423"/>
    <w:rsid w:val="005D3F83"/>
    <w:rsid w:val="00654889"/>
    <w:rsid w:val="006F7855"/>
    <w:rsid w:val="00752024"/>
    <w:rsid w:val="007E4B36"/>
    <w:rsid w:val="007E7876"/>
    <w:rsid w:val="008271FC"/>
    <w:rsid w:val="008532EB"/>
    <w:rsid w:val="008A068F"/>
    <w:rsid w:val="008A30ED"/>
    <w:rsid w:val="008B68F1"/>
    <w:rsid w:val="008C22EB"/>
    <w:rsid w:val="009B7F7E"/>
    <w:rsid w:val="009D4014"/>
    <w:rsid w:val="009E6DD4"/>
    <w:rsid w:val="009F5A1B"/>
    <w:rsid w:val="00A11247"/>
    <w:rsid w:val="00A30817"/>
    <w:rsid w:val="00A57C1C"/>
    <w:rsid w:val="00A83157"/>
    <w:rsid w:val="00AA1639"/>
    <w:rsid w:val="00AD0F5D"/>
    <w:rsid w:val="00AE528A"/>
    <w:rsid w:val="00B166C8"/>
    <w:rsid w:val="00B922B8"/>
    <w:rsid w:val="00BB29F8"/>
    <w:rsid w:val="00C13DAC"/>
    <w:rsid w:val="00D256AC"/>
    <w:rsid w:val="00DE71BB"/>
    <w:rsid w:val="00DF4066"/>
    <w:rsid w:val="00E21BB7"/>
    <w:rsid w:val="00F018F0"/>
    <w:rsid w:val="00F2021F"/>
    <w:rsid w:val="00FC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480FC"/>
  <w15:chartTrackingRefBased/>
  <w15:docId w15:val="{25FD8573-94E9-443F-A18C-2B600C90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7FE"/>
  </w:style>
  <w:style w:type="paragraph" w:styleId="Footer">
    <w:name w:val="footer"/>
    <w:basedOn w:val="Normal"/>
    <w:link w:val="FooterChar"/>
    <w:uiPriority w:val="99"/>
    <w:unhideWhenUsed/>
    <w:rsid w:val="00161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7FE"/>
  </w:style>
  <w:style w:type="character" w:styleId="Hyperlink">
    <w:name w:val="Hyperlink"/>
    <w:basedOn w:val="DefaultParagraphFont"/>
    <w:uiPriority w:val="99"/>
    <w:unhideWhenUsed/>
    <w:rsid w:val="00DE7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hospice.org.i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Needham, Justine (HOS)</dc:creator>
  <cp:keywords/>
  <dc:description/>
  <cp:lastModifiedBy>Brew, James</cp:lastModifiedBy>
  <cp:revision>2</cp:revision>
  <cp:lastPrinted>2026-06-24T12:09:00Z</cp:lastPrinted>
  <dcterms:created xsi:type="dcterms:W3CDTF">2026-06-26T15:17:00Z</dcterms:created>
  <dcterms:modified xsi:type="dcterms:W3CDTF">2026-06-26T15:17:00Z</dcterms:modified>
</cp:coreProperties>
</file>